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6B7BB" w14:textId="77777777" w:rsidR="002E2134" w:rsidRPr="001F23A6" w:rsidRDefault="002E2134" w:rsidP="00B57012">
      <w:pPr>
        <w:pStyle w:val="ListParagraph"/>
        <w:numPr>
          <w:ilvl w:val="0"/>
          <w:numId w:val="1"/>
        </w:numPr>
        <w:jc w:val="both"/>
      </w:pPr>
      <w:r w:rsidRPr="001F23A6">
        <w:t xml:space="preserve">A new National Funding Formula (NFF) will come into effect from 2018/19.  There is a two year period of transition from the old formula to the new.  </w:t>
      </w:r>
    </w:p>
    <w:p w14:paraId="042358D4" w14:textId="77777777" w:rsidR="002E2134" w:rsidRPr="001F23A6" w:rsidRDefault="002E2134" w:rsidP="00B57012">
      <w:pPr>
        <w:pStyle w:val="ListParagraph"/>
        <w:numPr>
          <w:ilvl w:val="0"/>
          <w:numId w:val="1"/>
        </w:numPr>
        <w:jc w:val="both"/>
      </w:pPr>
      <w:r w:rsidRPr="001F23A6">
        <w:t xml:space="preserve">The new formula provides </w:t>
      </w:r>
      <w:r w:rsidR="00D77D83" w:rsidRPr="001F23A6">
        <w:t xml:space="preserve">a </w:t>
      </w:r>
      <w:r w:rsidRPr="001F23A6">
        <w:t>core</w:t>
      </w:r>
      <w:r w:rsidR="00D77D83" w:rsidRPr="001F23A6">
        <w:t xml:space="preserve"> element of</w:t>
      </w:r>
      <w:r w:rsidRPr="001F23A6">
        <w:t xml:space="preserve"> funding </w:t>
      </w:r>
      <w:r w:rsidR="00D77D83" w:rsidRPr="001F23A6">
        <w:t xml:space="preserve">per pupil </w:t>
      </w:r>
      <w:r w:rsidRPr="001F23A6">
        <w:t xml:space="preserve">which is </w:t>
      </w:r>
      <w:r w:rsidR="00D77D83" w:rsidRPr="001F23A6">
        <w:t xml:space="preserve">then </w:t>
      </w:r>
      <w:r w:rsidRPr="001F23A6">
        <w:t>topped up via a number of factors such as deprivation</w:t>
      </w:r>
      <w:r w:rsidR="00D77D83" w:rsidRPr="001F23A6">
        <w:t xml:space="preserve"> of the area in which they live</w:t>
      </w:r>
      <w:r w:rsidRPr="001F23A6">
        <w:t>, prior attainment</w:t>
      </w:r>
      <w:r w:rsidR="00D77D83" w:rsidRPr="001F23A6">
        <w:t xml:space="preserve"> (for </w:t>
      </w:r>
      <w:r w:rsidR="001F23A6" w:rsidRPr="001F23A6">
        <w:t>secondary</w:t>
      </w:r>
      <w:r w:rsidR="00D77D83" w:rsidRPr="001F23A6">
        <w:t xml:space="preserve"> school, for example, this is how well each child did in their Year 6 SATs) </w:t>
      </w:r>
      <w:r w:rsidRPr="001F23A6">
        <w:t xml:space="preserve">and </w:t>
      </w:r>
      <w:r w:rsidR="00D77D83" w:rsidRPr="001F23A6">
        <w:t xml:space="preserve">a variety of </w:t>
      </w:r>
      <w:r w:rsidRPr="001F23A6">
        <w:t>other socio-economic</w:t>
      </w:r>
      <w:r w:rsidR="005C0AD2" w:rsidRPr="001F23A6">
        <w:t>/school based</w:t>
      </w:r>
      <w:r w:rsidRPr="001F23A6">
        <w:t xml:space="preserve"> </w:t>
      </w:r>
      <w:r w:rsidR="00746B5D" w:rsidRPr="001F23A6">
        <w:t>“characteristics”</w:t>
      </w:r>
      <w:r w:rsidRPr="001F23A6">
        <w:t>.</w:t>
      </w:r>
    </w:p>
    <w:p w14:paraId="5B1372F6" w14:textId="77777777" w:rsidR="005C0AD2" w:rsidRPr="001F23A6" w:rsidRDefault="005C0AD2" w:rsidP="005C0AD2">
      <w:pPr>
        <w:pStyle w:val="ListParagraph"/>
        <w:numPr>
          <w:ilvl w:val="0"/>
          <w:numId w:val="1"/>
        </w:numPr>
        <w:jc w:val="both"/>
      </w:pPr>
      <w:r w:rsidRPr="001F23A6">
        <w:t>The very lowest funded schools should</w:t>
      </w:r>
      <w:r w:rsidR="00B841CA" w:rsidRPr="001F23A6">
        <w:t>**</w:t>
      </w:r>
      <w:r w:rsidRPr="001F23A6">
        <w:t xml:space="preserve"> benefit from </w:t>
      </w:r>
      <w:r w:rsidR="00746B5D" w:rsidRPr="001F23A6">
        <w:t xml:space="preserve">a newly introduced </w:t>
      </w:r>
      <w:r w:rsidRPr="001F23A6">
        <w:t xml:space="preserve">minimum </w:t>
      </w:r>
      <w:r w:rsidR="00746B5D" w:rsidRPr="001F23A6">
        <w:t xml:space="preserve">level of </w:t>
      </w:r>
      <w:r w:rsidRPr="001F23A6">
        <w:t xml:space="preserve">per pupil funding.  Primary (2018-19) £3300 and (2019-20) £3500.  Secondary (2018-19) £4600 and (2019-20) £4800.  </w:t>
      </w:r>
    </w:p>
    <w:p w14:paraId="142E3F2E" w14:textId="77777777" w:rsidR="005C0AD2" w:rsidRPr="001F23A6" w:rsidRDefault="005C0AD2" w:rsidP="005C0AD2">
      <w:pPr>
        <w:pStyle w:val="ListParagraph"/>
        <w:numPr>
          <w:ilvl w:val="0"/>
          <w:numId w:val="1"/>
        </w:numPr>
        <w:jc w:val="both"/>
      </w:pPr>
      <w:r w:rsidRPr="001F23A6">
        <w:t xml:space="preserve">These minimum funding arrangements will allow the </w:t>
      </w:r>
      <w:r w:rsidR="00746B5D" w:rsidRPr="001F23A6">
        <w:t>(</w:t>
      </w:r>
      <w:r w:rsidRPr="001F23A6">
        <w:t>currently</w:t>
      </w:r>
      <w:r w:rsidR="00746B5D" w:rsidRPr="001F23A6">
        <w:t>)</w:t>
      </w:r>
      <w:r w:rsidRPr="001F23A6">
        <w:t xml:space="preserve"> </w:t>
      </w:r>
      <w:r w:rsidRPr="001F23A6">
        <w:rPr>
          <w:i/>
        </w:rPr>
        <w:t>very</w:t>
      </w:r>
      <w:r w:rsidRPr="001F23A6">
        <w:t xml:space="preserve"> lowest funded schools to gain around 6% in 2018-19 and 10% in 2019-20.  All other gains for the majority of low funded areas are capped at 3% (2018-19) and a further 2.5% (2019-20).  All other schools, regardless of their current funding position, will gain 0.5% (2018-19) rising to 1% (2019-20).</w:t>
      </w:r>
    </w:p>
    <w:p w14:paraId="4D3A8C32" w14:textId="77777777" w:rsidR="0094782A" w:rsidRPr="001F23A6" w:rsidRDefault="002E2134" w:rsidP="00B57012">
      <w:pPr>
        <w:pStyle w:val="ListParagraph"/>
        <w:numPr>
          <w:ilvl w:val="0"/>
          <w:numId w:val="1"/>
        </w:numPr>
        <w:jc w:val="both"/>
        <w:rPr>
          <w:strike/>
        </w:rPr>
      </w:pPr>
      <w:r w:rsidRPr="001F23A6">
        <w:t>If the funding formula was introduced in full</w:t>
      </w:r>
      <w:r w:rsidR="00D77D83" w:rsidRPr="001F23A6">
        <w:t xml:space="preserve"> so that no capping was needed at all</w:t>
      </w:r>
      <w:r w:rsidR="00A81213" w:rsidRPr="001F23A6">
        <w:t>,</w:t>
      </w:r>
      <w:r w:rsidRPr="001F23A6">
        <w:t xml:space="preserve"> all schools across England would be funded purely o</w:t>
      </w:r>
      <w:r w:rsidR="00A81213" w:rsidRPr="001F23A6">
        <w:t xml:space="preserve">n the basis of the new formula arrangements.  </w:t>
      </w:r>
      <w:r w:rsidRPr="001F23A6">
        <w:t xml:space="preserve"> </w:t>
      </w:r>
    </w:p>
    <w:p w14:paraId="5A2134C0" w14:textId="77777777" w:rsidR="00B375F6" w:rsidRDefault="00771871" w:rsidP="0026258B">
      <w:pPr>
        <w:pStyle w:val="ListParagraph"/>
        <w:numPr>
          <w:ilvl w:val="0"/>
          <w:numId w:val="1"/>
        </w:numPr>
        <w:jc w:val="both"/>
      </w:pPr>
      <w:r w:rsidRPr="001F23A6">
        <w:t>The table</w:t>
      </w:r>
      <w:r w:rsidR="005C0AD2" w:rsidRPr="001F23A6">
        <w:t>s</w:t>
      </w:r>
      <w:r w:rsidRPr="001F23A6">
        <w:t xml:space="preserve"> below use the Department for Education’s </w:t>
      </w:r>
      <w:r w:rsidR="005C0AD2" w:rsidRPr="001F23A6">
        <w:t xml:space="preserve">own </w:t>
      </w:r>
      <w:r w:rsidRPr="001F23A6">
        <w:t xml:space="preserve">statistics to show how </w:t>
      </w:r>
      <w:r w:rsidR="0051394D" w:rsidRPr="001F23A6">
        <w:t xml:space="preserve">funding disparities will be maintained </w:t>
      </w:r>
      <w:r w:rsidR="0051394D" w:rsidRPr="001F23A6">
        <w:rPr>
          <w:i/>
        </w:rPr>
        <w:t>even if a school in one area of the country has similar characteristics to those in another</w:t>
      </w:r>
      <w:r w:rsidR="0051394D" w:rsidRPr="001F23A6">
        <w:t xml:space="preserve">. This is because of the capping system noted above. </w:t>
      </w:r>
      <w:r w:rsidR="005C0AD2" w:rsidRPr="001F23A6">
        <w:t xml:space="preserve"> On average, </w:t>
      </w:r>
      <w:r w:rsidR="0032308D" w:rsidRPr="001F23A6">
        <w:t>York</w:t>
      </w:r>
      <w:r w:rsidR="0051394D" w:rsidRPr="001F23A6">
        <w:t xml:space="preserve"> is the </w:t>
      </w:r>
      <w:r w:rsidR="0032308D" w:rsidRPr="001F23A6">
        <w:t>lowest funded L</w:t>
      </w:r>
      <w:r w:rsidR="0051394D" w:rsidRPr="001F23A6">
        <w:t xml:space="preserve">ocal </w:t>
      </w:r>
      <w:r w:rsidR="0032308D" w:rsidRPr="001F23A6">
        <w:t>A</w:t>
      </w:r>
      <w:r w:rsidR="0051394D" w:rsidRPr="001F23A6">
        <w:t>uthority</w:t>
      </w:r>
      <w:r w:rsidR="0032308D" w:rsidRPr="001F23A6">
        <w:t xml:space="preserve"> in England</w:t>
      </w:r>
      <w:r w:rsidR="0051394D" w:rsidRPr="001F23A6">
        <w:t>, Reading is at the average, Greenwich is</w:t>
      </w:r>
      <w:r w:rsidR="0032308D" w:rsidRPr="001F23A6">
        <w:t xml:space="preserve"> in the top 10% of </w:t>
      </w:r>
      <w:r w:rsidR="00B841CA" w:rsidRPr="001F23A6">
        <w:t xml:space="preserve">funding arrangements </w:t>
      </w:r>
      <w:r w:rsidR="0032308D" w:rsidRPr="001F23A6">
        <w:t xml:space="preserve">and </w:t>
      </w:r>
      <w:r w:rsidR="0051394D" w:rsidRPr="001F23A6">
        <w:t xml:space="preserve">Hackney is the </w:t>
      </w:r>
      <w:r w:rsidR="000E7ED4" w:rsidRPr="001F23A6">
        <w:t>highest</w:t>
      </w:r>
      <w:r w:rsidR="0051394D" w:rsidRPr="001F23A6">
        <w:t xml:space="preserve"> funded </w:t>
      </w:r>
      <w:r w:rsidR="0032308D" w:rsidRPr="001F23A6">
        <w:t>a</w:t>
      </w:r>
      <w:r w:rsidR="000E7ED4" w:rsidRPr="001F23A6">
        <w:t>uthority</w:t>
      </w:r>
      <w:r w:rsidR="0051394D" w:rsidRPr="001F23A6">
        <w:t xml:space="preserve">.  </w:t>
      </w:r>
    </w:p>
    <w:p w14:paraId="46F19ABE" w14:textId="77777777" w:rsidR="004E7C5F" w:rsidRPr="00D77D83" w:rsidRDefault="004E7C5F" w:rsidP="004E7C5F">
      <w:pPr>
        <w:spacing w:after="0"/>
        <w:rPr>
          <w:b/>
          <w:color w:val="7030A0"/>
          <w:sz w:val="23"/>
          <w:szCs w:val="23"/>
          <w:lang w:eastAsia="en-GB"/>
        </w:rPr>
      </w:pPr>
      <w:r w:rsidRPr="004E7C5F">
        <w:rPr>
          <w:b/>
          <w:color w:val="212121"/>
          <w:sz w:val="23"/>
          <w:szCs w:val="23"/>
          <w:lang w:eastAsia="en-GB"/>
        </w:rPr>
        <w:t>Example A </w:t>
      </w:r>
      <w:r w:rsidR="0051394D">
        <w:rPr>
          <w:b/>
          <w:color w:val="212121"/>
          <w:sz w:val="23"/>
          <w:szCs w:val="23"/>
          <w:lang w:eastAsia="en-GB"/>
        </w:rPr>
        <w:t xml:space="preserve">- </w:t>
      </w:r>
      <w:r w:rsidRPr="004E7C5F">
        <w:rPr>
          <w:b/>
          <w:color w:val="212121"/>
          <w:sz w:val="23"/>
          <w:szCs w:val="23"/>
          <w:lang w:eastAsia="en-GB"/>
        </w:rPr>
        <w:t xml:space="preserve">Primary </w:t>
      </w:r>
      <w:r w:rsidR="00E13877">
        <w:rPr>
          <w:b/>
          <w:color w:val="212121"/>
          <w:sz w:val="23"/>
          <w:szCs w:val="23"/>
          <w:lang w:eastAsia="en-GB"/>
        </w:rPr>
        <w:t>S</w:t>
      </w:r>
      <w:r w:rsidR="0051394D">
        <w:rPr>
          <w:b/>
          <w:color w:val="212121"/>
          <w:sz w:val="23"/>
          <w:szCs w:val="23"/>
          <w:lang w:eastAsia="en-GB"/>
        </w:rPr>
        <w:t>chool of 400 pupils 2018-19</w:t>
      </w:r>
      <w:r w:rsidR="00D77D83">
        <w:rPr>
          <w:b/>
          <w:color w:val="212121"/>
          <w:sz w:val="23"/>
          <w:szCs w:val="23"/>
          <w:lang w:eastAsia="en-GB"/>
        </w:rPr>
        <w:t xml:space="preserve"> 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372"/>
        <w:gridCol w:w="2984"/>
      </w:tblGrid>
      <w:tr w:rsidR="004E7C5F" w14:paraId="6C449434" w14:textId="77777777" w:rsidTr="005C0AD2">
        <w:tc>
          <w:tcPr>
            <w:tcW w:w="6372" w:type="dxa"/>
          </w:tcPr>
          <w:p w14:paraId="3DCA4191" w14:textId="77777777" w:rsidR="004E7C5F" w:rsidRPr="0051394D" w:rsidRDefault="004E7C5F" w:rsidP="0032308D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 pupil funding </w:t>
            </w:r>
            <w:r w:rsidR="007F17B6" w:rsidRPr="0051394D">
              <w:rPr>
                <w:color w:val="212121"/>
                <w:sz w:val="20"/>
                <w:szCs w:val="23"/>
                <w:lang w:eastAsia="en-GB"/>
              </w:rPr>
              <w:t xml:space="preserve">- </w:t>
            </w:r>
            <w:r w:rsidR="0032308D">
              <w:rPr>
                <w:color w:val="212121"/>
                <w:sz w:val="20"/>
                <w:szCs w:val="23"/>
                <w:lang w:eastAsia="en-GB"/>
              </w:rPr>
              <w:t>York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 =</w:t>
            </w:r>
          </w:p>
        </w:tc>
        <w:tc>
          <w:tcPr>
            <w:tcW w:w="2984" w:type="dxa"/>
          </w:tcPr>
          <w:p w14:paraId="134229A6" w14:textId="77777777" w:rsidR="004E7C5F" w:rsidRPr="0051394D" w:rsidRDefault="004E7C5F" w:rsidP="0032308D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400 x £</w:t>
            </w:r>
            <w:r w:rsidR="0032308D">
              <w:rPr>
                <w:color w:val="212121"/>
                <w:sz w:val="20"/>
                <w:szCs w:val="23"/>
                <w:lang w:eastAsia="en-GB"/>
              </w:rPr>
              <w:t>3548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= £1,</w:t>
            </w:r>
            <w:r w:rsidR="0032308D">
              <w:rPr>
                <w:color w:val="212121"/>
                <w:sz w:val="20"/>
                <w:szCs w:val="23"/>
                <w:lang w:eastAsia="en-GB"/>
              </w:rPr>
              <w:t>419,200</w:t>
            </w:r>
          </w:p>
        </w:tc>
      </w:tr>
      <w:tr w:rsidR="004E7C5F" w14:paraId="15D281B9" w14:textId="77777777" w:rsidTr="005C0AD2">
        <w:tc>
          <w:tcPr>
            <w:tcW w:w="6372" w:type="dxa"/>
          </w:tcPr>
          <w:p w14:paraId="1DF672FF" w14:textId="77777777" w:rsidR="004E7C5F" w:rsidRPr="0051394D" w:rsidRDefault="004E7C5F" w:rsidP="007F17B6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</w:t>
            </w:r>
            <w:r w:rsidR="007F17B6" w:rsidRPr="0051394D">
              <w:rPr>
                <w:color w:val="212121"/>
                <w:sz w:val="20"/>
                <w:szCs w:val="23"/>
                <w:lang w:eastAsia="en-GB"/>
              </w:rPr>
              <w:t>per pupil funding - Reading =</w:t>
            </w:r>
          </w:p>
        </w:tc>
        <w:tc>
          <w:tcPr>
            <w:tcW w:w="2984" w:type="dxa"/>
          </w:tcPr>
          <w:p w14:paraId="12A66DE4" w14:textId="77777777" w:rsidR="004E7C5F" w:rsidRPr="0051394D" w:rsidRDefault="004E7C5F" w:rsidP="004F63D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400 x £</w:t>
            </w:r>
            <w:r w:rsidR="004F63D9" w:rsidRPr="0051394D">
              <w:rPr>
                <w:color w:val="212121"/>
                <w:sz w:val="20"/>
                <w:szCs w:val="23"/>
                <w:lang w:eastAsia="en-GB"/>
              </w:rPr>
              <w:t xml:space="preserve">3938 = 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£1,575</w:t>
            </w:r>
            <w:r w:rsidR="004F63D9" w:rsidRPr="0051394D">
              <w:rPr>
                <w:color w:val="212121"/>
                <w:sz w:val="20"/>
                <w:szCs w:val="23"/>
                <w:lang w:eastAsia="en-GB"/>
              </w:rPr>
              <w:t>,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200</w:t>
            </w:r>
          </w:p>
        </w:tc>
      </w:tr>
      <w:tr w:rsidR="004E7C5F" w14:paraId="78380C4E" w14:textId="77777777" w:rsidTr="005C0AD2">
        <w:tc>
          <w:tcPr>
            <w:tcW w:w="6372" w:type="dxa"/>
          </w:tcPr>
          <w:p w14:paraId="47C74B08" w14:textId="77777777" w:rsidR="004E7C5F" w:rsidRPr="0051394D" w:rsidRDefault="004E7C5F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Difference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 between </w:t>
            </w:r>
            <w:r w:rsidR="0032308D">
              <w:rPr>
                <w:color w:val="FF0000"/>
                <w:sz w:val="20"/>
                <w:szCs w:val="23"/>
                <w:lang w:eastAsia="en-GB"/>
              </w:rPr>
              <w:t>York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 and Reading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 </w:t>
            </w:r>
          </w:p>
        </w:tc>
        <w:tc>
          <w:tcPr>
            <w:tcW w:w="2984" w:type="dxa"/>
          </w:tcPr>
          <w:p w14:paraId="43964DEB" w14:textId="77777777" w:rsidR="004E7C5F" w:rsidRPr="0051394D" w:rsidRDefault="004E7C5F" w:rsidP="007F17B6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>156,000</w:t>
            </w:r>
          </w:p>
        </w:tc>
      </w:tr>
      <w:tr w:rsidR="004E7C5F" w14:paraId="46202413" w14:textId="77777777" w:rsidTr="005C0AD2">
        <w:tc>
          <w:tcPr>
            <w:tcW w:w="6372" w:type="dxa"/>
          </w:tcPr>
          <w:p w14:paraId="193D07AC" w14:textId="77777777" w:rsidR="004E7C5F" w:rsidRPr="0051394D" w:rsidRDefault="004E7C5F" w:rsidP="007F17B6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Average per pupil funding</w:t>
            </w:r>
            <w:r w:rsidR="007F17B6" w:rsidRPr="0051394D">
              <w:rPr>
                <w:color w:val="212121"/>
                <w:sz w:val="20"/>
                <w:szCs w:val="23"/>
                <w:lang w:eastAsia="en-GB"/>
              </w:rPr>
              <w:t xml:space="preserve"> - Greenwich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= </w:t>
            </w:r>
          </w:p>
        </w:tc>
        <w:tc>
          <w:tcPr>
            <w:tcW w:w="2984" w:type="dxa"/>
          </w:tcPr>
          <w:p w14:paraId="555C045C" w14:textId="77777777" w:rsidR="004E7C5F" w:rsidRPr="0051394D" w:rsidRDefault="0032308D" w:rsidP="004E7C5F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212121"/>
                <w:sz w:val="20"/>
                <w:szCs w:val="23"/>
                <w:lang w:eastAsia="en-GB"/>
              </w:rPr>
              <w:t xml:space="preserve">400 x £4898 = </w:t>
            </w:r>
            <w:r w:rsidR="004E7C5F" w:rsidRPr="0051394D">
              <w:rPr>
                <w:color w:val="212121"/>
                <w:sz w:val="20"/>
                <w:szCs w:val="23"/>
                <w:lang w:eastAsia="en-GB"/>
              </w:rPr>
              <w:t>£1,959,200</w:t>
            </w:r>
          </w:p>
        </w:tc>
      </w:tr>
      <w:tr w:rsidR="004E7C5F" w14:paraId="4B2C9A95" w14:textId="77777777" w:rsidTr="005C0AD2">
        <w:tc>
          <w:tcPr>
            <w:tcW w:w="6372" w:type="dxa"/>
          </w:tcPr>
          <w:p w14:paraId="5A14C0E5" w14:textId="77777777" w:rsidR="004E7C5F" w:rsidRPr="0051394D" w:rsidRDefault="004E7C5F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Diff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erence between </w:t>
            </w:r>
            <w:r w:rsidR="0032308D">
              <w:rPr>
                <w:color w:val="FF0000"/>
                <w:sz w:val="20"/>
                <w:szCs w:val="23"/>
                <w:lang w:eastAsia="en-GB"/>
              </w:rPr>
              <w:t>York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 and Greenwich 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= </w:t>
            </w:r>
          </w:p>
        </w:tc>
        <w:tc>
          <w:tcPr>
            <w:tcW w:w="2984" w:type="dxa"/>
          </w:tcPr>
          <w:p w14:paraId="693902C8" w14:textId="77777777" w:rsidR="004E7C5F" w:rsidRPr="0051394D" w:rsidRDefault="004E7C5F" w:rsidP="007F17B6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>540,000</w:t>
            </w:r>
          </w:p>
        </w:tc>
      </w:tr>
      <w:tr w:rsidR="004E7C5F" w14:paraId="48871833" w14:textId="77777777" w:rsidTr="005C0AD2">
        <w:tc>
          <w:tcPr>
            <w:tcW w:w="6372" w:type="dxa"/>
          </w:tcPr>
          <w:p w14:paraId="09331D80" w14:textId="77777777" w:rsidR="004E7C5F" w:rsidRPr="0051394D" w:rsidRDefault="004E7C5F" w:rsidP="007F17B6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Average per pupil funding</w:t>
            </w:r>
            <w:r w:rsidR="007F17B6" w:rsidRPr="0051394D">
              <w:rPr>
                <w:color w:val="212121"/>
                <w:sz w:val="20"/>
                <w:szCs w:val="23"/>
                <w:lang w:eastAsia="en-GB"/>
              </w:rPr>
              <w:t xml:space="preserve"> -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</w:t>
            </w:r>
            <w:r w:rsidR="007F17B6" w:rsidRPr="0051394D">
              <w:rPr>
                <w:color w:val="212121"/>
                <w:sz w:val="20"/>
                <w:szCs w:val="23"/>
                <w:lang w:eastAsia="en-GB"/>
              </w:rPr>
              <w:t>Hackney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= </w:t>
            </w:r>
          </w:p>
        </w:tc>
        <w:tc>
          <w:tcPr>
            <w:tcW w:w="2984" w:type="dxa"/>
          </w:tcPr>
          <w:p w14:paraId="08FF6309" w14:textId="77777777" w:rsidR="004E7C5F" w:rsidRPr="0051394D" w:rsidRDefault="007F17B6" w:rsidP="007F17B6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400 x £5887 = </w:t>
            </w:r>
            <w:r w:rsidR="004E7C5F" w:rsidRPr="0051394D">
              <w:rPr>
                <w:color w:val="212121"/>
                <w:sz w:val="20"/>
                <w:szCs w:val="23"/>
                <w:lang w:eastAsia="en-GB"/>
              </w:rPr>
              <w:t>£2,354,800</w:t>
            </w:r>
          </w:p>
        </w:tc>
      </w:tr>
      <w:tr w:rsidR="004E7C5F" w14:paraId="4A8C0DB0" w14:textId="77777777" w:rsidTr="005C0AD2">
        <w:tc>
          <w:tcPr>
            <w:tcW w:w="6372" w:type="dxa"/>
          </w:tcPr>
          <w:p w14:paraId="01B844C2" w14:textId="77777777" w:rsidR="004E7C5F" w:rsidRPr="0051394D" w:rsidRDefault="004E7C5F" w:rsidP="0032308D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between </w:t>
            </w:r>
            <w:r w:rsidR="0032308D">
              <w:rPr>
                <w:color w:val="FF0000"/>
                <w:sz w:val="20"/>
                <w:szCs w:val="23"/>
                <w:lang w:eastAsia="en-GB"/>
              </w:rPr>
              <w:t>York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 xml:space="preserve"> and Hackney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 =</w:t>
            </w:r>
          </w:p>
        </w:tc>
        <w:tc>
          <w:tcPr>
            <w:tcW w:w="2984" w:type="dxa"/>
          </w:tcPr>
          <w:p w14:paraId="15326CFE" w14:textId="77777777" w:rsidR="004E7C5F" w:rsidRPr="0051394D" w:rsidRDefault="004E7C5F" w:rsidP="007F17B6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 w:rsidR="007F17B6" w:rsidRPr="0051394D">
              <w:rPr>
                <w:color w:val="FF0000"/>
                <w:sz w:val="20"/>
                <w:szCs w:val="23"/>
                <w:lang w:eastAsia="en-GB"/>
              </w:rPr>
              <w:t>935,600</w:t>
            </w:r>
          </w:p>
        </w:tc>
      </w:tr>
    </w:tbl>
    <w:p w14:paraId="613D1CEB" w14:textId="77777777" w:rsidR="00084D50" w:rsidRDefault="00084D50" w:rsidP="004E7C5F">
      <w:pPr>
        <w:spacing w:after="0"/>
        <w:rPr>
          <w:b/>
          <w:color w:val="000000"/>
          <w:sz w:val="23"/>
          <w:szCs w:val="23"/>
          <w:lang w:eastAsia="en-GB"/>
        </w:rPr>
      </w:pPr>
    </w:p>
    <w:p w14:paraId="6C6C8295" w14:textId="77777777" w:rsidR="004E7C5F" w:rsidRPr="00D77D83" w:rsidRDefault="004E7C5F" w:rsidP="004E7C5F">
      <w:pPr>
        <w:spacing w:after="0"/>
        <w:rPr>
          <w:b/>
          <w:color w:val="7030A0"/>
          <w:sz w:val="23"/>
          <w:szCs w:val="23"/>
          <w:lang w:eastAsia="en-GB"/>
        </w:rPr>
      </w:pPr>
      <w:r w:rsidRPr="004E7C5F">
        <w:rPr>
          <w:b/>
          <w:color w:val="000000"/>
          <w:sz w:val="23"/>
          <w:szCs w:val="23"/>
          <w:lang w:eastAsia="en-GB"/>
        </w:rPr>
        <w:t xml:space="preserve">Example B </w:t>
      </w:r>
      <w:r w:rsidR="0051394D">
        <w:rPr>
          <w:b/>
          <w:color w:val="000000"/>
          <w:sz w:val="23"/>
          <w:szCs w:val="23"/>
          <w:lang w:eastAsia="en-GB"/>
        </w:rPr>
        <w:t xml:space="preserve">– </w:t>
      </w:r>
      <w:r w:rsidRPr="004E7C5F">
        <w:rPr>
          <w:b/>
          <w:color w:val="000000"/>
          <w:sz w:val="23"/>
          <w:szCs w:val="23"/>
          <w:lang w:eastAsia="en-GB"/>
        </w:rPr>
        <w:t>Sec</w:t>
      </w:r>
      <w:r w:rsidR="0051394D">
        <w:rPr>
          <w:b/>
          <w:color w:val="000000"/>
          <w:sz w:val="23"/>
          <w:szCs w:val="23"/>
          <w:lang w:eastAsia="en-GB"/>
        </w:rPr>
        <w:t>ondary School with 14</w:t>
      </w:r>
      <w:r w:rsidR="0032308D">
        <w:rPr>
          <w:b/>
          <w:color w:val="000000"/>
          <w:sz w:val="23"/>
          <w:szCs w:val="23"/>
          <w:lang w:eastAsia="en-GB"/>
        </w:rPr>
        <w:t>00</w:t>
      </w:r>
      <w:r w:rsidR="0051394D">
        <w:rPr>
          <w:b/>
          <w:color w:val="000000"/>
          <w:sz w:val="23"/>
          <w:szCs w:val="23"/>
          <w:lang w:eastAsia="en-GB"/>
        </w:rPr>
        <w:t xml:space="preserve"> students 2018-19</w:t>
      </w:r>
      <w:r w:rsidR="00D77D83">
        <w:rPr>
          <w:b/>
          <w:color w:val="000000"/>
          <w:sz w:val="23"/>
          <w:szCs w:val="23"/>
          <w:lang w:eastAsia="en-GB"/>
        </w:rPr>
        <w:t xml:space="preserve"> 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6372"/>
        <w:gridCol w:w="2912"/>
      </w:tblGrid>
      <w:tr w:rsidR="0032308D" w14:paraId="2F07504A" w14:textId="77777777" w:rsidTr="005C0AD2">
        <w:tc>
          <w:tcPr>
            <w:tcW w:w="6372" w:type="dxa"/>
          </w:tcPr>
          <w:p w14:paraId="19DA7CA7" w14:textId="77777777" w:rsidR="0032308D" w:rsidRPr="0051394D" w:rsidRDefault="0032308D" w:rsidP="0032308D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 pupil funding - </w:t>
            </w:r>
            <w:r>
              <w:rPr>
                <w:color w:val="212121"/>
                <w:sz w:val="20"/>
                <w:szCs w:val="23"/>
                <w:lang w:eastAsia="en-GB"/>
              </w:rPr>
              <w:t>York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 =</w:t>
            </w:r>
          </w:p>
        </w:tc>
        <w:tc>
          <w:tcPr>
            <w:tcW w:w="2912" w:type="dxa"/>
          </w:tcPr>
          <w:p w14:paraId="6DECC325" w14:textId="77777777" w:rsidR="0032308D" w:rsidRPr="0051394D" w:rsidRDefault="0032308D" w:rsidP="0032308D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 xml:space="preserve"> x </w:t>
            </w:r>
            <w:r>
              <w:rPr>
                <w:color w:val="000000"/>
                <w:sz w:val="20"/>
                <w:szCs w:val="23"/>
                <w:lang w:eastAsia="en-GB"/>
              </w:rPr>
              <w:t>£4704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 xml:space="preserve"> = £6,</w:t>
            </w:r>
            <w:r>
              <w:rPr>
                <w:color w:val="000000"/>
                <w:sz w:val="20"/>
                <w:szCs w:val="23"/>
                <w:lang w:eastAsia="en-GB"/>
              </w:rPr>
              <w:t>585,600</w:t>
            </w:r>
          </w:p>
        </w:tc>
      </w:tr>
      <w:tr w:rsidR="0032308D" w14:paraId="44E622ED" w14:textId="77777777" w:rsidTr="005C0AD2">
        <w:tc>
          <w:tcPr>
            <w:tcW w:w="6372" w:type="dxa"/>
          </w:tcPr>
          <w:p w14:paraId="469FE573" w14:textId="77777777" w:rsidR="0032308D" w:rsidRPr="0051394D" w:rsidRDefault="0032308D" w:rsidP="0032308D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Average per pupil funding - Reading =</w:t>
            </w:r>
          </w:p>
        </w:tc>
        <w:tc>
          <w:tcPr>
            <w:tcW w:w="2912" w:type="dxa"/>
          </w:tcPr>
          <w:p w14:paraId="7F3239F3" w14:textId="77777777" w:rsidR="0032308D" w:rsidRPr="0051394D" w:rsidRDefault="0032308D" w:rsidP="00CE0AFB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 xml:space="preserve">0 x </w:t>
            </w:r>
            <w:r w:rsidR="00CE0AFB">
              <w:rPr>
                <w:color w:val="000000"/>
                <w:sz w:val="20"/>
                <w:szCs w:val="23"/>
                <w:lang w:eastAsia="en-GB"/>
              </w:rPr>
              <w:t>£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>5106  = £</w:t>
            </w:r>
            <w:r w:rsidR="00CE0AFB">
              <w:rPr>
                <w:color w:val="000000"/>
                <w:sz w:val="20"/>
                <w:szCs w:val="23"/>
                <w:lang w:eastAsia="en-GB"/>
              </w:rPr>
              <w:t>7,148,400</w:t>
            </w:r>
          </w:p>
        </w:tc>
      </w:tr>
      <w:tr w:rsidR="0032308D" w14:paraId="33A1C439" w14:textId="77777777" w:rsidTr="005C0AD2">
        <w:tc>
          <w:tcPr>
            <w:tcW w:w="6372" w:type="dxa"/>
          </w:tcPr>
          <w:p w14:paraId="4BD6BD7B" w14:textId="77777777" w:rsidR="0032308D" w:rsidRPr="0051394D" w:rsidRDefault="0032308D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between York and Reading </w:t>
            </w:r>
          </w:p>
        </w:tc>
        <w:tc>
          <w:tcPr>
            <w:tcW w:w="2912" w:type="dxa"/>
          </w:tcPr>
          <w:p w14:paraId="082FFA4B" w14:textId="77777777" w:rsidR="0032308D" w:rsidRPr="0051394D" w:rsidRDefault="0032308D" w:rsidP="00CE0AFB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 w:rsidR="00CE0AFB">
              <w:rPr>
                <w:color w:val="FF0000"/>
                <w:sz w:val="20"/>
                <w:szCs w:val="23"/>
                <w:lang w:eastAsia="en-GB"/>
              </w:rPr>
              <w:t>562,800</w:t>
            </w:r>
          </w:p>
        </w:tc>
      </w:tr>
      <w:tr w:rsidR="0032308D" w14:paraId="24E7D545" w14:textId="77777777" w:rsidTr="005C0AD2">
        <w:tc>
          <w:tcPr>
            <w:tcW w:w="6372" w:type="dxa"/>
          </w:tcPr>
          <w:p w14:paraId="5FF1824A" w14:textId="77777777" w:rsidR="0032308D" w:rsidRPr="0051394D" w:rsidRDefault="0032308D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Greenwich = </w:t>
            </w:r>
          </w:p>
        </w:tc>
        <w:tc>
          <w:tcPr>
            <w:tcW w:w="2912" w:type="dxa"/>
          </w:tcPr>
          <w:p w14:paraId="4F204AF1" w14:textId="77777777" w:rsidR="0032308D" w:rsidRPr="0051394D" w:rsidRDefault="0032308D" w:rsidP="00CE0AFB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000000"/>
                <w:sz w:val="20"/>
                <w:szCs w:val="23"/>
                <w:lang w:eastAsia="en-GB"/>
              </w:rPr>
              <w:t>140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>0 x £6451 = £9,</w:t>
            </w:r>
            <w:r w:rsidR="00CE0AFB">
              <w:rPr>
                <w:color w:val="000000"/>
                <w:sz w:val="20"/>
                <w:szCs w:val="23"/>
                <w:lang w:eastAsia="en-GB"/>
              </w:rPr>
              <w:t>031,400</w:t>
            </w:r>
          </w:p>
        </w:tc>
      </w:tr>
      <w:tr w:rsidR="0032308D" w14:paraId="58915F8D" w14:textId="77777777" w:rsidTr="005C0AD2">
        <w:tc>
          <w:tcPr>
            <w:tcW w:w="6372" w:type="dxa"/>
          </w:tcPr>
          <w:p w14:paraId="6CED8A1C" w14:textId="77777777" w:rsidR="0032308D" w:rsidRPr="0051394D" w:rsidRDefault="0032308D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between York and Greenwich = </w:t>
            </w:r>
          </w:p>
        </w:tc>
        <w:tc>
          <w:tcPr>
            <w:tcW w:w="2912" w:type="dxa"/>
          </w:tcPr>
          <w:p w14:paraId="6FD85067" w14:textId="77777777" w:rsidR="0032308D" w:rsidRPr="0051394D" w:rsidRDefault="0032308D" w:rsidP="00CE0AFB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£2,</w:t>
            </w:r>
            <w:r w:rsidR="00CE0AFB">
              <w:rPr>
                <w:color w:val="FF0000"/>
                <w:sz w:val="20"/>
                <w:szCs w:val="23"/>
                <w:lang w:eastAsia="en-GB"/>
              </w:rPr>
              <w:t>445,800</w:t>
            </w:r>
          </w:p>
        </w:tc>
      </w:tr>
      <w:tr w:rsidR="0032308D" w14:paraId="4B7644D0" w14:textId="77777777" w:rsidTr="005C0AD2">
        <w:tc>
          <w:tcPr>
            <w:tcW w:w="6372" w:type="dxa"/>
          </w:tcPr>
          <w:p w14:paraId="5C0B7FDC" w14:textId="77777777" w:rsidR="0032308D" w:rsidRPr="0051394D" w:rsidRDefault="0032308D" w:rsidP="0032308D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Hackney = </w:t>
            </w:r>
          </w:p>
        </w:tc>
        <w:tc>
          <w:tcPr>
            <w:tcW w:w="2912" w:type="dxa"/>
          </w:tcPr>
          <w:p w14:paraId="4034FA61" w14:textId="77777777" w:rsidR="0032308D" w:rsidRPr="0051394D" w:rsidRDefault="0032308D" w:rsidP="00CE0AFB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>0 x £7840 = £</w:t>
            </w:r>
            <w:r w:rsidR="00CE0AFB">
              <w:rPr>
                <w:color w:val="000000"/>
                <w:sz w:val="20"/>
                <w:szCs w:val="23"/>
                <w:lang w:eastAsia="en-GB"/>
              </w:rPr>
              <w:t>10,976,000</w:t>
            </w:r>
          </w:p>
        </w:tc>
      </w:tr>
      <w:tr w:rsidR="0032308D" w14:paraId="0D09AF93" w14:textId="77777777" w:rsidTr="005C0AD2">
        <w:tc>
          <w:tcPr>
            <w:tcW w:w="6372" w:type="dxa"/>
          </w:tcPr>
          <w:p w14:paraId="133AB6C8" w14:textId="77777777" w:rsidR="0032308D" w:rsidRPr="0051394D" w:rsidRDefault="0032308D" w:rsidP="0032308D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Difference between York and Hackney =</w:t>
            </w:r>
          </w:p>
        </w:tc>
        <w:tc>
          <w:tcPr>
            <w:tcW w:w="2912" w:type="dxa"/>
          </w:tcPr>
          <w:p w14:paraId="4E82DA9E" w14:textId="77777777" w:rsidR="0032308D" w:rsidRPr="0051394D" w:rsidRDefault="0032308D" w:rsidP="00CE0AFB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 w:rsidR="00B7189F">
              <w:rPr>
                <w:color w:val="FF0000"/>
                <w:sz w:val="20"/>
                <w:szCs w:val="23"/>
                <w:lang w:eastAsia="en-GB"/>
              </w:rPr>
              <w:t>4,</w:t>
            </w:r>
            <w:r w:rsidR="00CE0AFB">
              <w:rPr>
                <w:color w:val="FF0000"/>
                <w:sz w:val="20"/>
                <w:szCs w:val="23"/>
                <w:lang w:eastAsia="en-GB"/>
              </w:rPr>
              <w:t>390,400</w:t>
            </w:r>
          </w:p>
        </w:tc>
      </w:tr>
    </w:tbl>
    <w:p w14:paraId="47A15B84" w14:textId="77777777" w:rsidR="004E7C5F" w:rsidRPr="00B841CA" w:rsidRDefault="0051394D" w:rsidP="004E7C5F">
      <w:pPr>
        <w:rPr>
          <w:b/>
          <w:sz w:val="20"/>
          <w:szCs w:val="23"/>
          <w:lang w:eastAsia="en-GB"/>
        </w:rPr>
      </w:pPr>
      <w:r w:rsidRPr="00B841CA">
        <w:rPr>
          <w:b/>
          <w:sz w:val="20"/>
          <w:szCs w:val="23"/>
          <w:lang w:eastAsia="en-GB"/>
        </w:rPr>
        <w:t xml:space="preserve">These differences </w:t>
      </w:r>
      <w:r w:rsidRPr="00B841CA">
        <w:rPr>
          <w:b/>
          <w:color w:val="FF0000"/>
          <w:sz w:val="20"/>
          <w:szCs w:val="23"/>
          <w:lang w:eastAsia="en-GB"/>
        </w:rPr>
        <w:t xml:space="preserve">do not </w:t>
      </w:r>
      <w:r w:rsidR="004E7C5F" w:rsidRPr="00B841CA">
        <w:rPr>
          <w:b/>
          <w:sz w:val="20"/>
          <w:szCs w:val="23"/>
          <w:lang w:eastAsia="en-GB"/>
        </w:rPr>
        <w:t xml:space="preserve">include </w:t>
      </w:r>
      <w:r w:rsidRPr="00B841CA">
        <w:rPr>
          <w:b/>
          <w:sz w:val="20"/>
          <w:szCs w:val="23"/>
          <w:lang w:eastAsia="en-GB"/>
        </w:rPr>
        <w:t>additional per pupil funding for pupils who are in receipt of Free School Meals - the Pupil Premium allowance</w:t>
      </w:r>
      <w:r w:rsidR="00B841CA" w:rsidRPr="00B841CA">
        <w:rPr>
          <w:b/>
          <w:sz w:val="20"/>
          <w:szCs w:val="23"/>
          <w:lang w:eastAsia="en-GB"/>
        </w:rPr>
        <w:t xml:space="preserve"> - £1320 Reception to Year 6 and £935 Year 7-11</w:t>
      </w:r>
      <w:r w:rsidR="00B841CA">
        <w:rPr>
          <w:b/>
          <w:sz w:val="20"/>
          <w:szCs w:val="23"/>
          <w:lang w:eastAsia="en-GB"/>
        </w:rPr>
        <w:t>.</w:t>
      </w:r>
    </w:p>
    <w:p w14:paraId="1440AAE0" w14:textId="77777777" w:rsidR="0094782A" w:rsidRPr="001F23A6" w:rsidRDefault="00461150" w:rsidP="00B57012">
      <w:pPr>
        <w:pStyle w:val="ListParagraph"/>
        <w:numPr>
          <w:ilvl w:val="0"/>
          <w:numId w:val="1"/>
        </w:numPr>
        <w:jc w:val="both"/>
      </w:pPr>
      <w:r w:rsidRPr="001F23A6">
        <w:t xml:space="preserve">These per pupil funding arrangements are likely to be </w:t>
      </w:r>
      <w:r w:rsidR="00D77D83" w:rsidRPr="001F23A6">
        <w:t xml:space="preserve">further </w:t>
      </w:r>
      <w:r w:rsidRPr="001F23A6">
        <w:t>r</w:t>
      </w:r>
      <w:r w:rsidR="00D77D83" w:rsidRPr="001F23A6">
        <w:t xml:space="preserve">educed as local authorities can, and will need to </w:t>
      </w:r>
      <w:r w:rsidRPr="001F23A6">
        <w:t xml:space="preserve">use some elements of per pupil funding to pay for other student services such as </w:t>
      </w:r>
      <w:r w:rsidR="00B841CA" w:rsidRPr="001F23A6">
        <w:t>funding</w:t>
      </w:r>
      <w:r w:rsidRPr="001F23A6">
        <w:t xml:space="preserve"> students with High Needs. </w:t>
      </w:r>
      <w:r w:rsidR="00B841CA" w:rsidRPr="001F23A6">
        <w:t xml:space="preserve"> In fact, t</w:t>
      </w:r>
      <w:r w:rsidRPr="001F23A6">
        <w:t xml:space="preserve">he </w:t>
      </w:r>
      <w:r w:rsidR="00B841CA" w:rsidRPr="001F23A6">
        <w:t>minimum</w:t>
      </w:r>
      <w:r w:rsidRPr="001F23A6">
        <w:t xml:space="preserve"> guaranteed per pupil uplift is 0.5%</w:t>
      </w:r>
      <w:r w:rsidR="00B841CA" w:rsidRPr="001F23A6">
        <w:t>**.</w:t>
      </w:r>
    </w:p>
    <w:p w14:paraId="55DF8DE6" w14:textId="2FB0E83E" w:rsidR="002E2134" w:rsidRDefault="00112951" w:rsidP="00FE210E">
      <w:pPr>
        <w:pStyle w:val="ListParagraph"/>
        <w:numPr>
          <w:ilvl w:val="0"/>
          <w:numId w:val="1"/>
        </w:numPr>
        <w:jc w:val="both"/>
      </w:pPr>
      <w:r w:rsidRPr="001F23A6">
        <w:t>Costs to schools continue to rise.  Inflation is running at 2.9%</w:t>
      </w:r>
      <w:r w:rsidR="00B841CA" w:rsidRPr="001F23A6">
        <w:t>.  Schools now have to pay an A</w:t>
      </w:r>
      <w:r w:rsidRPr="001F23A6">
        <w:t xml:space="preserve">pprenticeship </w:t>
      </w:r>
      <w:r w:rsidR="00B841CA" w:rsidRPr="001F23A6">
        <w:t>L</w:t>
      </w:r>
      <w:r w:rsidRPr="001F23A6">
        <w:t xml:space="preserve">evy and an </w:t>
      </w:r>
      <w:r w:rsidR="00B841CA" w:rsidRPr="001F23A6">
        <w:t>E</w:t>
      </w:r>
      <w:r w:rsidRPr="001F23A6">
        <w:t xml:space="preserve">ducational </w:t>
      </w:r>
      <w:r w:rsidR="00B841CA" w:rsidRPr="001F23A6">
        <w:t>S</w:t>
      </w:r>
      <w:r w:rsidRPr="001F23A6">
        <w:t xml:space="preserve">ervices </w:t>
      </w:r>
      <w:r w:rsidR="00B841CA" w:rsidRPr="001F23A6">
        <w:t>G</w:t>
      </w:r>
      <w:r w:rsidRPr="001F23A6">
        <w:t>rant</w:t>
      </w:r>
      <w:r w:rsidR="00D77D83" w:rsidRPr="001F23A6">
        <w:t xml:space="preserve"> to support the work of schools and Local Authorities</w:t>
      </w:r>
      <w:r w:rsidRPr="001F23A6">
        <w:t xml:space="preserve"> is no longer fully funded.  Additional pension, national insurance and salary costs that school budgets must pay for are unfunded.  The Independent Institute of Fiscal Studies states that in spite of the £1.3 billion provided to schools in the DfE’s funding formula statement overall school budgets have </w:t>
      </w:r>
      <w:r w:rsidR="0096055D" w:rsidRPr="001F23A6">
        <w:t xml:space="preserve">/will </w:t>
      </w:r>
      <w:r w:rsidRPr="001F23A6">
        <w:t>decline by 4.6% in real terms during</w:t>
      </w:r>
      <w:r w:rsidR="00B841CA" w:rsidRPr="001F23A6">
        <w:t xml:space="preserve"> the </w:t>
      </w:r>
      <w:r w:rsidR="0096055D" w:rsidRPr="001F23A6">
        <w:t xml:space="preserve">financial </w:t>
      </w:r>
      <w:r w:rsidR="00B841CA">
        <w:t xml:space="preserve">period </w:t>
      </w:r>
      <w:r>
        <w:t xml:space="preserve">2015 – 2020.  </w:t>
      </w:r>
    </w:p>
    <w:p w14:paraId="03558899" w14:textId="005BC50F" w:rsidR="00084D50" w:rsidRPr="00084D50" w:rsidRDefault="00084D50" w:rsidP="00084D50">
      <w:pPr>
        <w:jc w:val="center"/>
        <w:rPr>
          <w:b/>
          <w:color w:val="FF0000"/>
        </w:rPr>
      </w:pPr>
      <w:r w:rsidRPr="00084D50">
        <w:rPr>
          <w:b/>
          <w:color w:val="FF0000"/>
        </w:rPr>
        <w:t>For further details about our own Local Authority please see page 2</w:t>
      </w:r>
      <w:bookmarkStart w:id="0" w:name="_GoBack"/>
      <w:bookmarkEnd w:id="0"/>
    </w:p>
    <w:p w14:paraId="7DEEB72F" w14:textId="77777777" w:rsidR="00084D50" w:rsidRDefault="00084D50" w:rsidP="00084D50">
      <w:pPr>
        <w:spacing w:after="0"/>
        <w:rPr>
          <w:b/>
          <w:color w:val="212121"/>
          <w:sz w:val="23"/>
          <w:szCs w:val="23"/>
          <w:lang w:eastAsia="en-GB"/>
        </w:rPr>
      </w:pPr>
      <w:r>
        <w:rPr>
          <w:b/>
          <w:color w:val="212121"/>
          <w:sz w:val="23"/>
          <w:szCs w:val="23"/>
          <w:lang w:eastAsia="en-GB"/>
        </w:rPr>
        <w:t xml:space="preserve">West Sussex - </w:t>
      </w:r>
      <w:r w:rsidRPr="004E7C5F">
        <w:rPr>
          <w:b/>
          <w:color w:val="212121"/>
          <w:sz w:val="23"/>
          <w:szCs w:val="23"/>
          <w:lang w:eastAsia="en-GB"/>
        </w:rPr>
        <w:t xml:space="preserve">Primary </w:t>
      </w:r>
      <w:r>
        <w:rPr>
          <w:b/>
          <w:color w:val="212121"/>
          <w:sz w:val="23"/>
          <w:szCs w:val="23"/>
          <w:lang w:eastAsia="en-GB"/>
        </w:rPr>
        <w:t>School of 400 pupils 2018-19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6372"/>
        <w:gridCol w:w="2984"/>
      </w:tblGrid>
      <w:tr w:rsidR="00084D50" w14:paraId="398BCAC8" w14:textId="77777777" w:rsidTr="00947539">
        <w:tc>
          <w:tcPr>
            <w:tcW w:w="6372" w:type="dxa"/>
          </w:tcPr>
          <w:p w14:paraId="49F685B6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 pupil funding </w:t>
            </w:r>
            <w:r>
              <w:rPr>
                <w:color w:val="212121"/>
                <w:sz w:val="20"/>
                <w:szCs w:val="23"/>
                <w:lang w:eastAsia="en-GB"/>
              </w:rPr>
              <w:t>– West Sussex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=</w:t>
            </w:r>
          </w:p>
        </w:tc>
        <w:tc>
          <w:tcPr>
            <w:tcW w:w="2984" w:type="dxa"/>
          </w:tcPr>
          <w:p w14:paraId="11746678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400 x £</w:t>
            </w:r>
            <w:r>
              <w:rPr>
                <w:color w:val="212121"/>
                <w:sz w:val="20"/>
                <w:szCs w:val="23"/>
                <w:lang w:eastAsia="en-GB"/>
              </w:rPr>
              <w:t>3677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= £</w:t>
            </w:r>
            <w:r>
              <w:rPr>
                <w:color w:val="212121"/>
                <w:sz w:val="20"/>
                <w:szCs w:val="23"/>
                <w:lang w:eastAsia="en-GB"/>
              </w:rPr>
              <w:t>1,470,800</w:t>
            </w:r>
          </w:p>
        </w:tc>
      </w:tr>
      <w:tr w:rsidR="00084D50" w14:paraId="2B01520F" w14:textId="77777777" w:rsidTr="00947539">
        <w:tc>
          <w:tcPr>
            <w:tcW w:w="6372" w:type="dxa"/>
          </w:tcPr>
          <w:p w14:paraId="42EF358B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Average per pupil funding - Reading =</w:t>
            </w:r>
          </w:p>
        </w:tc>
        <w:tc>
          <w:tcPr>
            <w:tcW w:w="2984" w:type="dxa"/>
          </w:tcPr>
          <w:p w14:paraId="6DE5FBFF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400 x £3938 = £1,575,200</w:t>
            </w:r>
          </w:p>
        </w:tc>
      </w:tr>
      <w:tr w:rsidR="00084D50" w14:paraId="508CE54F" w14:textId="77777777" w:rsidTr="00947539">
        <w:tc>
          <w:tcPr>
            <w:tcW w:w="6372" w:type="dxa"/>
          </w:tcPr>
          <w:p w14:paraId="6CB5DCFE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</w:t>
            </w:r>
            <w:r w:rsidRPr="00772D6F">
              <w:rPr>
                <w:color w:val="FF0000"/>
                <w:sz w:val="20"/>
                <w:szCs w:val="23"/>
                <w:lang w:eastAsia="en-GB"/>
              </w:rPr>
              <w:t xml:space="preserve">between </w:t>
            </w:r>
            <w:r>
              <w:rPr>
                <w:color w:val="FF0000"/>
                <w:sz w:val="20"/>
                <w:szCs w:val="23"/>
                <w:lang w:eastAsia="en-GB"/>
              </w:rPr>
              <w:t>West Sussex</w:t>
            </w:r>
            <w:r w:rsidRPr="00772D6F">
              <w:rPr>
                <w:color w:val="FF0000"/>
                <w:sz w:val="20"/>
                <w:szCs w:val="23"/>
                <w:lang w:eastAsia="en-GB"/>
              </w:rPr>
              <w:t xml:space="preserve"> and 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Reading </w:t>
            </w:r>
          </w:p>
        </w:tc>
        <w:tc>
          <w:tcPr>
            <w:tcW w:w="2984" w:type="dxa"/>
          </w:tcPr>
          <w:p w14:paraId="17EBEA6C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>
              <w:rPr>
                <w:color w:val="FF0000"/>
                <w:sz w:val="20"/>
                <w:szCs w:val="23"/>
                <w:lang w:eastAsia="en-GB"/>
              </w:rPr>
              <w:t>104,400</w:t>
            </w:r>
          </w:p>
        </w:tc>
      </w:tr>
      <w:tr w:rsidR="00084D50" w14:paraId="200064C7" w14:textId="77777777" w:rsidTr="00947539">
        <w:tc>
          <w:tcPr>
            <w:tcW w:w="6372" w:type="dxa"/>
          </w:tcPr>
          <w:p w14:paraId="4845EAC1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Greenwich = </w:t>
            </w:r>
          </w:p>
        </w:tc>
        <w:tc>
          <w:tcPr>
            <w:tcW w:w="2984" w:type="dxa"/>
          </w:tcPr>
          <w:p w14:paraId="3D4BCCE6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212121"/>
                <w:sz w:val="20"/>
                <w:szCs w:val="23"/>
                <w:lang w:eastAsia="en-GB"/>
              </w:rPr>
              <w:t xml:space="preserve">400 x £4898 = 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£1,959,200</w:t>
            </w:r>
          </w:p>
        </w:tc>
      </w:tr>
      <w:tr w:rsidR="00084D50" w14:paraId="369D3F41" w14:textId="77777777" w:rsidTr="00947539">
        <w:tc>
          <w:tcPr>
            <w:tcW w:w="6372" w:type="dxa"/>
          </w:tcPr>
          <w:p w14:paraId="4A26FC3C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</w:t>
            </w:r>
            <w:r w:rsidRPr="00772D6F">
              <w:rPr>
                <w:color w:val="FF0000"/>
                <w:sz w:val="20"/>
                <w:szCs w:val="23"/>
                <w:lang w:eastAsia="en-GB"/>
              </w:rPr>
              <w:t xml:space="preserve">between </w:t>
            </w:r>
            <w:r>
              <w:rPr>
                <w:color w:val="FF0000"/>
                <w:sz w:val="20"/>
                <w:szCs w:val="23"/>
                <w:lang w:eastAsia="en-GB"/>
              </w:rPr>
              <w:t>West Sussex</w:t>
            </w:r>
            <w:r w:rsidRPr="00772D6F">
              <w:rPr>
                <w:color w:val="FF0000"/>
                <w:sz w:val="20"/>
                <w:szCs w:val="23"/>
                <w:lang w:eastAsia="en-GB"/>
              </w:rPr>
              <w:t xml:space="preserve"> and 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Greenwich = </w:t>
            </w:r>
          </w:p>
        </w:tc>
        <w:tc>
          <w:tcPr>
            <w:tcW w:w="2984" w:type="dxa"/>
          </w:tcPr>
          <w:p w14:paraId="54A770BF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>
              <w:rPr>
                <w:color w:val="FF0000"/>
                <w:sz w:val="20"/>
                <w:szCs w:val="23"/>
                <w:lang w:eastAsia="en-GB"/>
              </w:rPr>
              <w:t>488,400</w:t>
            </w:r>
          </w:p>
        </w:tc>
      </w:tr>
      <w:tr w:rsidR="00084D50" w14:paraId="2BE67559" w14:textId="77777777" w:rsidTr="00947539">
        <w:tc>
          <w:tcPr>
            <w:tcW w:w="6372" w:type="dxa"/>
          </w:tcPr>
          <w:p w14:paraId="499081B8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Hackney = </w:t>
            </w:r>
          </w:p>
        </w:tc>
        <w:tc>
          <w:tcPr>
            <w:tcW w:w="2984" w:type="dxa"/>
          </w:tcPr>
          <w:p w14:paraId="47CD5945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400 x £5887 = £2,354,800</w:t>
            </w:r>
          </w:p>
        </w:tc>
      </w:tr>
      <w:tr w:rsidR="00084D50" w14:paraId="2FA1DC52" w14:textId="77777777" w:rsidTr="00947539">
        <w:tc>
          <w:tcPr>
            <w:tcW w:w="6372" w:type="dxa"/>
          </w:tcPr>
          <w:p w14:paraId="4330A389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Difference between </w:t>
            </w:r>
            <w:r>
              <w:rPr>
                <w:color w:val="FF0000"/>
                <w:sz w:val="20"/>
                <w:szCs w:val="23"/>
                <w:lang w:eastAsia="en-GB"/>
              </w:rPr>
              <w:t>West Sussex</w:t>
            </w:r>
            <w:r w:rsidRPr="00772D6F">
              <w:rPr>
                <w:color w:val="FF0000"/>
                <w:sz w:val="20"/>
                <w:szCs w:val="23"/>
                <w:lang w:eastAsia="en-GB"/>
              </w:rPr>
              <w:t xml:space="preserve"> 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>and Hackney =</w:t>
            </w:r>
          </w:p>
        </w:tc>
        <w:tc>
          <w:tcPr>
            <w:tcW w:w="2984" w:type="dxa"/>
          </w:tcPr>
          <w:p w14:paraId="3BFE8E32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>
              <w:rPr>
                <w:color w:val="FF0000"/>
                <w:sz w:val="20"/>
                <w:szCs w:val="23"/>
                <w:lang w:eastAsia="en-GB"/>
              </w:rPr>
              <w:t>884,000</w:t>
            </w:r>
          </w:p>
        </w:tc>
      </w:tr>
    </w:tbl>
    <w:p w14:paraId="1A86F56B" w14:textId="77777777" w:rsidR="00084D50" w:rsidRDefault="00084D50" w:rsidP="00084D50">
      <w:pPr>
        <w:spacing w:after="0"/>
        <w:rPr>
          <w:b/>
          <w:color w:val="000000"/>
          <w:sz w:val="23"/>
          <w:szCs w:val="23"/>
          <w:lang w:eastAsia="en-GB"/>
        </w:rPr>
      </w:pPr>
    </w:p>
    <w:p w14:paraId="6F8E0C8E" w14:textId="77777777" w:rsidR="00084D50" w:rsidRPr="004E7C5F" w:rsidRDefault="00084D50" w:rsidP="00084D50">
      <w:pPr>
        <w:spacing w:after="0"/>
        <w:rPr>
          <w:b/>
          <w:color w:val="212121"/>
          <w:sz w:val="23"/>
          <w:szCs w:val="23"/>
          <w:lang w:eastAsia="en-GB"/>
        </w:rPr>
      </w:pPr>
      <w:r>
        <w:rPr>
          <w:b/>
          <w:color w:val="000000"/>
          <w:sz w:val="23"/>
          <w:szCs w:val="23"/>
          <w:lang w:eastAsia="en-GB"/>
        </w:rPr>
        <w:t xml:space="preserve">West Sussex– </w:t>
      </w:r>
      <w:r w:rsidRPr="004E7C5F">
        <w:rPr>
          <w:b/>
          <w:color w:val="000000"/>
          <w:sz w:val="23"/>
          <w:szCs w:val="23"/>
          <w:lang w:eastAsia="en-GB"/>
        </w:rPr>
        <w:t>Sec</w:t>
      </w:r>
      <w:r>
        <w:rPr>
          <w:b/>
          <w:color w:val="000000"/>
          <w:sz w:val="23"/>
          <w:szCs w:val="23"/>
          <w:lang w:eastAsia="en-GB"/>
        </w:rPr>
        <w:t>ondary School with 1400 students 2018-19</w:t>
      </w:r>
    </w:p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6372"/>
        <w:gridCol w:w="2912"/>
      </w:tblGrid>
      <w:tr w:rsidR="00084D50" w14:paraId="66A6594D" w14:textId="77777777" w:rsidTr="00947539">
        <w:tc>
          <w:tcPr>
            <w:tcW w:w="6372" w:type="dxa"/>
          </w:tcPr>
          <w:p w14:paraId="37848A77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 pupil funding </w:t>
            </w:r>
            <w:r>
              <w:rPr>
                <w:color w:val="212121"/>
                <w:sz w:val="20"/>
                <w:szCs w:val="23"/>
                <w:lang w:eastAsia="en-GB"/>
              </w:rPr>
              <w:t>–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 </w:t>
            </w:r>
            <w:r>
              <w:rPr>
                <w:color w:val="212121"/>
                <w:sz w:val="20"/>
                <w:szCs w:val="23"/>
                <w:lang w:eastAsia="en-GB"/>
              </w:rPr>
              <w:t>West Sussex</w:t>
            </w:r>
            <w:r w:rsidRPr="0051394D">
              <w:rPr>
                <w:color w:val="212121"/>
                <w:sz w:val="20"/>
                <w:szCs w:val="23"/>
                <w:lang w:eastAsia="en-GB"/>
              </w:rPr>
              <w:t> =</w:t>
            </w:r>
          </w:p>
        </w:tc>
        <w:tc>
          <w:tcPr>
            <w:tcW w:w="2912" w:type="dxa"/>
          </w:tcPr>
          <w:p w14:paraId="72C0B9D7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 xml:space="preserve"> x </w:t>
            </w:r>
            <w:r>
              <w:rPr>
                <w:color w:val="000000"/>
                <w:sz w:val="20"/>
                <w:szCs w:val="23"/>
                <w:lang w:eastAsia="en-GB"/>
              </w:rPr>
              <w:t>£4756 = £6,658,400</w:t>
            </w:r>
          </w:p>
        </w:tc>
      </w:tr>
      <w:tr w:rsidR="00084D50" w14:paraId="38587001" w14:textId="77777777" w:rsidTr="00947539">
        <w:tc>
          <w:tcPr>
            <w:tcW w:w="6372" w:type="dxa"/>
          </w:tcPr>
          <w:p w14:paraId="16BCC3E7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>Average per pupil funding - Reading =</w:t>
            </w:r>
          </w:p>
        </w:tc>
        <w:tc>
          <w:tcPr>
            <w:tcW w:w="2912" w:type="dxa"/>
          </w:tcPr>
          <w:p w14:paraId="62B44218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</w:t>
            </w:r>
            <w:r w:rsidRPr="0051394D">
              <w:rPr>
                <w:color w:val="000000"/>
                <w:sz w:val="20"/>
                <w:szCs w:val="23"/>
                <w:lang w:eastAsia="en-GB"/>
              </w:rPr>
              <w:t xml:space="preserve">0 x </w:t>
            </w:r>
            <w:r>
              <w:rPr>
                <w:color w:val="000000"/>
                <w:sz w:val="20"/>
                <w:szCs w:val="23"/>
                <w:lang w:eastAsia="en-GB"/>
              </w:rPr>
              <w:t>£5106  = £7,148,400</w:t>
            </w:r>
          </w:p>
        </w:tc>
      </w:tr>
      <w:tr w:rsidR="00084D50" w14:paraId="4A4A7BB8" w14:textId="77777777" w:rsidTr="00947539">
        <w:tc>
          <w:tcPr>
            <w:tcW w:w="6372" w:type="dxa"/>
          </w:tcPr>
          <w:p w14:paraId="33CDB5AC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>
              <w:rPr>
                <w:color w:val="FF0000"/>
                <w:sz w:val="20"/>
                <w:szCs w:val="23"/>
                <w:lang w:eastAsia="en-GB"/>
              </w:rPr>
              <w:t>Difference between West Sussex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 and Reading </w:t>
            </w:r>
          </w:p>
        </w:tc>
        <w:tc>
          <w:tcPr>
            <w:tcW w:w="2912" w:type="dxa"/>
          </w:tcPr>
          <w:p w14:paraId="75BF631E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>
              <w:rPr>
                <w:color w:val="FF0000"/>
                <w:sz w:val="20"/>
                <w:szCs w:val="23"/>
                <w:lang w:eastAsia="en-GB"/>
              </w:rPr>
              <w:t>490,000</w:t>
            </w:r>
          </w:p>
        </w:tc>
      </w:tr>
      <w:tr w:rsidR="00084D50" w14:paraId="593C2D18" w14:textId="77777777" w:rsidTr="00947539">
        <w:tc>
          <w:tcPr>
            <w:tcW w:w="6372" w:type="dxa"/>
          </w:tcPr>
          <w:p w14:paraId="26792B92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Greenwich = </w:t>
            </w:r>
          </w:p>
        </w:tc>
        <w:tc>
          <w:tcPr>
            <w:tcW w:w="2912" w:type="dxa"/>
          </w:tcPr>
          <w:p w14:paraId="11893ED5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000000"/>
                <w:sz w:val="20"/>
                <w:szCs w:val="23"/>
                <w:lang w:eastAsia="en-GB"/>
              </w:rPr>
              <w:t>1400 x £6451 = £9,031,400</w:t>
            </w:r>
          </w:p>
        </w:tc>
      </w:tr>
      <w:tr w:rsidR="00084D50" w14:paraId="20708242" w14:textId="77777777" w:rsidTr="00947539">
        <w:tc>
          <w:tcPr>
            <w:tcW w:w="6372" w:type="dxa"/>
          </w:tcPr>
          <w:p w14:paraId="749AE900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>
              <w:rPr>
                <w:color w:val="FF0000"/>
                <w:sz w:val="20"/>
                <w:szCs w:val="23"/>
                <w:lang w:eastAsia="en-GB"/>
              </w:rPr>
              <w:t>Difference between West Sussex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 and Greenwich = </w:t>
            </w:r>
          </w:p>
        </w:tc>
        <w:tc>
          <w:tcPr>
            <w:tcW w:w="2912" w:type="dxa"/>
          </w:tcPr>
          <w:p w14:paraId="75E9ABCB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FF0000"/>
                <w:sz w:val="20"/>
                <w:szCs w:val="23"/>
                <w:lang w:eastAsia="en-GB"/>
              </w:rPr>
              <w:t>£2,373,000</w:t>
            </w:r>
          </w:p>
        </w:tc>
      </w:tr>
      <w:tr w:rsidR="00084D50" w14:paraId="3EE8DCB7" w14:textId="77777777" w:rsidTr="00947539">
        <w:tc>
          <w:tcPr>
            <w:tcW w:w="6372" w:type="dxa"/>
          </w:tcPr>
          <w:p w14:paraId="1741ED07" w14:textId="77777777" w:rsidR="00084D50" w:rsidRPr="0051394D" w:rsidRDefault="00084D50" w:rsidP="00947539">
            <w:pPr>
              <w:jc w:val="right"/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212121"/>
                <w:sz w:val="20"/>
                <w:szCs w:val="23"/>
                <w:lang w:eastAsia="en-GB"/>
              </w:rPr>
              <w:t xml:space="preserve">Average per pupil funding - Hackney = </w:t>
            </w:r>
          </w:p>
        </w:tc>
        <w:tc>
          <w:tcPr>
            <w:tcW w:w="2912" w:type="dxa"/>
          </w:tcPr>
          <w:p w14:paraId="572EF138" w14:textId="77777777" w:rsidR="00084D50" w:rsidRPr="0051394D" w:rsidRDefault="00084D50" w:rsidP="00947539">
            <w:pPr>
              <w:rPr>
                <w:b/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000000"/>
                <w:sz w:val="20"/>
                <w:szCs w:val="23"/>
                <w:lang w:eastAsia="en-GB"/>
              </w:rPr>
              <w:t>14</w:t>
            </w:r>
            <w:r>
              <w:rPr>
                <w:color w:val="000000"/>
                <w:sz w:val="20"/>
                <w:szCs w:val="23"/>
                <w:lang w:eastAsia="en-GB"/>
              </w:rPr>
              <w:t>00 x £7840 = £10,976,000</w:t>
            </w:r>
          </w:p>
        </w:tc>
      </w:tr>
      <w:tr w:rsidR="00084D50" w14:paraId="1EF43AF8" w14:textId="77777777" w:rsidTr="00947539">
        <w:tc>
          <w:tcPr>
            <w:tcW w:w="6372" w:type="dxa"/>
          </w:tcPr>
          <w:p w14:paraId="06683D7D" w14:textId="77777777" w:rsidR="00084D50" w:rsidRPr="0051394D" w:rsidRDefault="00084D50" w:rsidP="00947539">
            <w:pPr>
              <w:jc w:val="right"/>
              <w:rPr>
                <w:b/>
                <w:color w:val="212121"/>
                <w:sz w:val="20"/>
                <w:szCs w:val="23"/>
                <w:lang w:eastAsia="en-GB"/>
              </w:rPr>
            </w:pPr>
            <w:r>
              <w:rPr>
                <w:color w:val="FF0000"/>
                <w:sz w:val="20"/>
                <w:szCs w:val="23"/>
                <w:lang w:eastAsia="en-GB"/>
              </w:rPr>
              <w:t>Difference between West Sussex</w:t>
            </w:r>
            <w:r w:rsidRPr="0051394D">
              <w:rPr>
                <w:color w:val="FF0000"/>
                <w:sz w:val="20"/>
                <w:szCs w:val="23"/>
                <w:lang w:eastAsia="en-GB"/>
              </w:rPr>
              <w:t xml:space="preserve"> and Hackney =</w:t>
            </w:r>
          </w:p>
        </w:tc>
        <w:tc>
          <w:tcPr>
            <w:tcW w:w="2912" w:type="dxa"/>
          </w:tcPr>
          <w:p w14:paraId="680B9230" w14:textId="77777777" w:rsidR="00084D50" w:rsidRPr="0051394D" w:rsidRDefault="00084D50" w:rsidP="00947539">
            <w:pPr>
              <w:rPr>
                <w:color w:val="212121"/>
                <w:sz w:val="20"/>
                <w:szCs w:val="23"/>
                <w:lang w:eastAsia="en-GB"/>
              </w:rPr>
            </w:pPr>
            <w:r w:rsidRPr="0051394D">
              <w:rPr>
                <w:color w:val="FF0000"/>
                <w:sz w:val="20"/>
                <w:szCs w:val="23"/>
                <w:lang w:eastAsia="en-GB"/>
              </w:rPr>
              <w:t>£</w:t>
            </w:r>
            <w:r>
              <w:rPr>
                <w:color w:val="FF0000"/>
                <w:sz w:val="20"/>
                <w:szCs w:val="23"/>
                <w:lang w:eastAsia="en-GB"/>
              </w:rPr>
              <w:t>4,317,600</w:t>
            </w:r>
          </w:p>
        </w:tc>
      </w:tr>
    </w:tbl>
    <w:p w14:paraId="036612DF" w14:textId="79B4210E" w:rsidR="00084D50" w:rsidRDefault="00084D50" w:rsidP="00B57012">
      <w:pPr>
        <w:jc w:val="both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3FF8BE8" wp14:editId="64FAE244">
            <wp:simplePos x="0" y="0"/>
            <wp:positionH relativeFrom="page">
              <wp:posOffset>417830</wp:posOffset>
            </wp:positionH>
            <wp:positionV relativeFrom="page">
              <wp:posOffset>8884920</wp:posOffset>
            </wp:positionV>
            <wp:extent cx="6645600" cy="824400"/>
            <wp:effectExtent l="0" t="0" r="3175" b="0"/>
            <wp:wrapThrough wrapText="bothSides">
              <wp:wrapPolygon edited="0">
                <wp:start x="17647" y="0"/>
                <wp:lineTo x="0" y="0"/>
                <wp:lineTo x="0" y="19470"/>
                <wp:lineTo x="19257" y="20968"/>
                <wp:lineTo x="21177" y="20968"/>
                <wp:lineTo x="21177" y="15975"/>
                <wp:lineTo x="21548" y="8986"/>
                <wp:lineTo x="21548" y="0"/>
                <wp:lineTo x="17647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 logos Sep 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4D50" w:rsidSect="00084D50">
      <w:headerReference w:type="default" r:id="rId8"/>
      <w:footerReference w:type="default" r:id="rId9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0A481" w14:textId="77777777" w:rsidR="00084D50" w:rsidRDefault="00084D50" w:rsidP="00084D50">
      <w:pPr>
        <w:spacing w:after="0" w:line="240" w:lineRule="auto"/>
      </w:pPr>
      <w:r>
        <w:separator/>
      </w:r>
    </w:p>
  </w:endnote>
  <w:endnote w:type="continuationSeparator" w:id="0">
    <w:p w14:paraId="1176DB38" w14:textId="77777777" w:rsidR="00084D50" w:rsidRDefault="00084D50" w:rsidP="0008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80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0BE023" w14:textId="71B6994A" w:rsidR="00084D50" w:rsidRDefault="00084D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4D40C7" w14:textId="77777777" w:rsidR="00084D50" w:rsidRDefault="00084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E3F41" w14:textId="77777777" w:rsidR="00084D50" w:rsidRDefault="00084D50" w:rsidP="00084D50">
      <w:pPr>
        <w:spacing w:after="0" w:line="240" w:lineRule="auto"/>
      </w:pPr>
      <w:r>
        <w:separator/>
      </w:r>
    </w:p>
  </w:footnote>
  <w:footnote w:type="continuationSeparator" w:id="0">
    <w:p w14:paraId="0537CA52" w14:textId="77777777" w:rsidR="00084D50" w:rsidRDefault="00084D50" w:rsidP="0008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AA019" w14:textId="657F5718" w:rsidR="00084D50" w:rsidRPr="00084D50" w:rsidRDefault="00084D50" w:rsidP="00084D50">
    <w:pPr>
      <w:rPr>
        <w:b/>
      </w:rPr>
    </w:pPr>
    <w:r w:rsidRPr="00B57012">
      <w:rPr>
        <w:b/>
      </w:rPr>
      <w:t>Fact Sheet – National Fair Funding Formula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September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C792E"/>
    <w:multiLevelType w:val="hybridMultilevel"/>
    <w:tmpl w:val="4E048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34"/>
    <w:rsid w:val="00084D50"/>
    <w:rsid w:val="000E7ED4"/>
    <w:rsid w:val="00112951"/>
    <w:rsid w:val="001F23A6"/>
    <w:rsid w:val="002E2134"/>
    <w:rsid w:val="0032308D"/>
    <w:rsid w:val="00461150"/>
    <w:rsid w:val="004E7C5F"/>
    <w:rsid w:val="004F63D9"/>
    <w:rsid w:val="0051394D"/>
    <w:rsid w:val="005B1D5F"/>
    <w:rsid w:val="005C0AD2"/>
    <w:rsid w:val="00746B5D"/>
    <w:rsid w:val="00771871"/>
    <w:rsid w:val="007F17B6"/>
    <w:rsid w:val="0094782A"/>
    <w:rsid w:val="0096055D"/>
    <w:rsid w:val="00A81213"/>
    <w:rsid w:val="00A8461C"/>
    <w:rsid w:val="00B375F6"/>
    <w:rsid w:val="00B57012"/>
    <w:rsid w:val="00B7189F"/>
    <w:rsid w:val="00B841CA"/>
    <w:rsid w:val="00CE0AFB"/>
    <w:rsid w:val="00D77D83"/>
    <w:rsid w:val="00D86E5C"/>
    <w:rsid w:val="00E13877"/>
    <w:rsid w:val="00E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CAD0"/>
  <w15:chartTrackingRefBased/>
  <w15:docId w15:val="{72F29D82-06EB-4177-A24F-3A05A647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34"/>
    <w:pPr>
      <w:ind w:left="720"/>
      <w:contextualSpacing/>
    </w:pPr>
  </w:style>
  <w:style w:type="table" w:styleId="TableGrid">
    <w:name w:val="Table Grid"/>
    <w:basedOn w:val="TableNormal"/>
    <w:uiPriority w:val="39"/>
    <w:rsid w:val="004E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0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A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50"/>
  </w:style>
  <w:style w:type="paragraph" w:styleId="Footer">
    <w:name w:val="footer"/>
    <w:basedOn w:val="Normal"/>
    <w:link w:val="FooterChar"/>
    <w:uiPriority w:val="99"/>
    <w:unhideWhenUsed/>
    <w:rsid w:val="00084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C15DB36E</Template>
  <TotalTime>3</TotalTime>
  <Pages>2</Pages>
  <Words>706</Words>
  <Characters>4027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Strugnell</dc:creator>
  <cp:keywords/>
  <dc:description/>
  <cp:lastModifiedBy>Gemma Strugnell</cp:lastModifiedBy>
  <cp:revision>2</cp:revision>
  <cp:lastPrinted>2017-09-22T08:23:00Z</cp:lastPrinted>
  <dcterms:created xsi:type="dcterms:W3CDTF">2017-09-22T09:40:00Z</dcterms:created>
  <dcterms:modified xsi:type="dcterms:W3CDTF">2017-09-22T09:40:00Z</dcterms:modified>
</cp:coreProperties>
</file>